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/>
        <w:rPr>
          <w:sz w:val="52"/>
          <w:szCs w:val="52"/>
        </w:rPr>
      </w:pPr>
    </w:p>
    <w:p>
      <w:pPr>
        <w:spacing w:line="360" w:lineRule="auto"/>
        <w:rPr>
          <w:sz w:val="52"/>
          <w:szCs w:val="52"/>
        </w:rPr>
      </w:pPr>
    </w:p>
    <w:p>
      <w:pPr>
        <w:spacing w:line="360" w:lineRule="auto"/>
        <w:rPr>
          <w:sz w:val="52"/>
          <w:szCs w:val="52"/>
        </w:rPr>
      </w:pPr>
    </w:p>
    <w:p>
      <w:pPr>
        <w:spacing w:line="360" w:lineRule="auto"/>
        <w:rPr>
          <w:sz w:val="52"/>
          <w:szCs w:val="52"/>
        </w:rPr>
      </w:pPr>
    </w:p>
    <w:p>
      <w:pPr>
        <w:spacing w:line="360" w:lineRule="auto"/>
        <w:rPr>
          <w:sz w:val="52"/>
          <w:szCs w:val="52"/>
        </w:rPr>
      </w:pPr>
    </w:p>
    <w:p>
      <w:pPr>
        <w:spacing w:line="360" w:lineRule="auto"/>
        <w:jc w:val="center"/>
        <w:rPr>
          <w:sz w:val="48"/>
          <w:szCs w:val="52"/>
        </w:rPr>
      </w:pPr>
      <w:r>
        <w:rPr>
          <w:sz w:val="48"/>
          <w:szCs w:val="52"/>
        </w:rPr>
        <w:t>eTax@SH</w:t>
      </w:r>
      <w:r>
        <w:rPr>
          <w:rFonts w:hint="eastAsia"/>
          <w:sz w:val="48"/>
          <w:szCs w:val="52"/>
        </w:rPr>
        <w:t xml:space="preserve"> 3 网上电子申报软件</w:t>
      </w:r>
    </w:p>
    <w:p>
      <w:pPr>
        <w:spacing w:line="360" w:lineRule="auto"/>
        <w:jc w:val="center"/>
        <w:rPr>
          <w:sz w:val="48"/>
          <w:szCs w:val="52"/>
        </w:rPr>
      </w:pPr>
      <w:r>
        <w:rPr>
          <w:rFonts w:hint="eastAsia"/>
          <w:sz w:val="48"/>
          <w:szCs w:val="52"/>
        </w:rPr>
        <w:t>汇算清缴操作手册</w:t>
      </w:r>
    </w:p>
    <w:p>
      <w:pPr>
        <w:spacing w:line="360" w:lineRule="auto"/>
        <w:rPr>
          <w:sz w:val="48"/>
          <w:szCs w:val="52"/>
        </w:rPr>
      </w:pPr>
    </w:p>
    <w:p>
      <w:pPr>
        <w:spacing w:line="360" w:lineRule="auto"/>
        <w:rPr>
          <w:sz w:val="48"/>
          <w:szCs w:val="52"/>
        </w:rPr>
      </w:pPr>
    </w:p>
    <w:p>
      <w:pPr>
        <w:spacing w:line="360" w:lineRule="auto"/>
        <w:rPr>
          <w:sz w:val="48"/>
          <w:szCs w:val="52"/>
        </w:rPr>
      </w:pPr>
    </w:p>
    <w:p>
      <w:pPr>
        <w:spacing w:line="360" w:lineRule="auto"/>
        <w:rPr>
          <w:sz w:val="48"/>
          <w:szCs w:val="52"/>
        </w:rPr>
      </w:pPr>
    </w:p>
    <w:p>
      <w:pPr>
        <w:spacing w:line="360" w:lineRule="auto"/>
        <w:rPr>
          <w:sz w:val="48"/>
          <w:szCs w:val="52"/>
        </w:rPr>
      </w:pPr>
    </w:p>
    <w:p>
      <w:pPr>
        <w:spacing w:line="360" w:lineRule="auto"/>
        <w:rPr>
          <w:sz w:val="48"/>
          <w:szCs w:val="52"/>
        </w:rPr>
      </w:pPr>
    </w:p>
    <w:p>
      <w:pPr>
        <w:spacing w:line="360" w:lineRule="auto"/>
        <w:rPr>
          <w:sz w:val="48"/>
          <w:szCs w:val="52"/>
        </w:rPr>
      </w:pPr>
    </w:p>
    <w:p>
      <w:pPr>
        <w:spacing w:line="360" w:lineRule="auto"/>
        <w:rPr>
          <w:sz w:val="48"/>
          <w:szCs w:val="52"/>
        </w:rPr>
      </w:pPr>
    </w:p>
    <w:p>
      <w:pPr>
        <w:spacing w:line="360" w:lineRule="auto"/>
        <w:rPr>
          <w:sz w:val="48"/>
          <w:szCs w:val="52"/>
        </w:rPr>
      </w:pPr>
    </w:p>
    <w:p>
      <w:pPr>
        <w:spacing w:line="360" w:lineRule="auto"/>
        <w:rPr>
          <w:sz w:val="48"/>
          <w:szCs w:val="52"/>
        </w:rPr>
      </w:pPr>
    </w:p>
    <w:p>
      <w:pPr>
        <w:spacing w:line="360" w:lineRule="auto"/>
        <w:jc w:val="center"/>
        <w:rPr>
          <w:sz w:val="28"/>
          <w:szCs w:val="32"/>
        </w:rPr>
      </w:pPr>
      <w:r>
        <w:rPr>
          <w:rFonts w:hint="eastAsia"/>
          <w:sz w:val="28"/>
          <w:szCs w:val="32"/>
        </w:rPr>
        <w:t>2020年2月修订</w:t>
      </w:r>
    </w:p>
    <w:p>
      <w:pPr>
        <w:widowControl/>
        <w:jc w:val="left"/>
        <w:rPr>
          <w:sz w:val="52"/>
          <w:szCs w:val="52"/>
        </w:rPr>
      </w:pPr>
      <w:r>
        <w:rPr>
          <w:sz w:val="52"/>
          <w:szCs w:val="52"/>
        </w:rPr>
        <w:br w:type="page"/>
      </w:r>
    </w:p>
    <w:p>
      <w:pPr>
        <w:pStyle w:val="13"/>
        <w:jc w:val="center"/>
      </w:pPr>
      <w:r>
        <w:rPr>
          <w:lang w:val="zh-CN"/>
        </w:rPr>
        <w:t>目录</w:t>
      </w:r>
    </w:p>
    <w:p>
      <w:pPr>
        <w:pStyle w:val="8"/>
      </w:pPr>
      <w:r>
        <w:rPr>
          <w:sz w:val="24"/>
        </w:rPr>
        <w:fldChar w:fldCharType="begin"/>
      </w:r>
      <w:r>
        <w:rPr>
          <w:sz w:val="24"/>
        </w:rPr>
        <w:instrText xml:space="preserve"> TOC \o "1-3" \h \z \u </w:instrText>
      </w:r>
      <w:r>
        <w:rPr>
          <w:sz w:val="24"/>
        </w:rPr>
        <w:fldChar w:fldCharType="separate"/>
      </w:r>
      <w:r>
        <w:fldChar w:fldCharType="begin"/>
      </w:r>
      <w:r>
        <w:instrText xml:space="preserve">HYPERLINK  \l "_Toc3367987" </w:instrText>
      </w:r>
      <w:r>
        <w:fldChar w:fldCharType="separate"/>
      </w:r>
      <w:r>
        <w:rPr>
          <w:rStyle w:val="10"/>
          <w:rFonts w:hint="eastAsia"/>
        </w:rPr>
        <w:t>一、概述</w:t>
      </w:r>
      <w:r>
        <w:tab/>
      </w:r>
      <w:r>
        <w:fldChar w:fldCharType="begin"/>
      </w:r>
      <w:r>
        <w:instrText xml:space="preserve"> PAGEREF _Toc3367987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8"/>
      </w:pPr>
      <w:r>
        <w:fldChar w:fldCharType="begin"/>
      </w:r>
      <w:r>
        <w:instrText xml:space="preserve">HYPERLINK  \l "_Toc3367988" </w:instrText>
      </w:r>
      <w:r>
        <w:fldChar w:fldCharType="separate"/>
      </w:r>
      <w:r>
        <w:rPr>
          <w:rStyle w:val="10"/>
          <w:rFonts w:hint="eastAsia"/>
        </w:rPr>
        <w:t>二、软件下载安装</w:t>
      </w:r>
      <w:r>
        <w:tab/>
      </w:r>
      <w:r>
        <w:fldChar w:fldCharType="begin"/>
      </w:r>
      <w:r>
        <w:instrText xml:space="preserve"> PAGEREF _Toc3367988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8"/>
      </w:pPr>
      <w:r>
        <w:fldChar w:fldCharType="begin"/>
      </w:r>
      <w:r>
        <w:instrText xml:space="preserve">HYPERLINK  \l "_Toc3367989" </w:instrText>
      </w:r>
      <w:r>
        <w:fldChar w:fldCharType="separate"/>
      </w:r>
      <w:r>
        <w:rPr>
          <w:rStyle w:val="10"/>
          <w:rFonts w:hint="eastAsia"/>
        </w:rPr>
        <w:t>三、更新软件</w:t>
      </w:r>
      <w:r>
        <w:tab/>
      </w:r>
      <w:r>
        <w:fldChar w:fldCharType="begin"/>
      </w:r>
      <w:r>
        <w:instrText xml:space="preserve"> PAGEREF _Toc3367989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8"/>
      </w:pPr>
      <w:r>
        <w:fldChar w:fldCharType="begin"/>
      </w:r>
      <w:r>
        <w:instrText xml:space="preserve">HYPERLINK  \l "_Toc3367990" </w:instrText>
      </w:r>
      <w:r>
        <w:fldChar w:fldCharType="separate"/>
      </w:r>
      <w:r>
        <w:rPr>
          <w:rStyle w:val="10"/>
          <w:rFonts w:hint="eastAsia"/>
        </w:rPr>
        <w:t>四、更新核定</w:t>
      </w:r>
      <w:r>
        <w:tab/>
      </w:r>
      <w:r>
        <w:fldChar w:fldCharType="begin"/>
      </w:r>
      <w:r>
        <w:instrText xml:space="preserve"> PAGEREF _Toc3367990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8"/>
      </w:pPr>
      <w:r>
        <w:fldChar w:fldCharType="begin"/>
      </w:r>
      <w:r>
        <w:instrText xml:space="preserve">HYPERLINK  \l "_Toc3367991" </w:instrText>
      </w:r>
      <w:r>
        <w:fldChar w:fldCharType="separate"/>
      </w:r>
      <w:r>
        <w:rPr>
          <w:rStyle w:val="10"/>
          <w:rFonts w:hint="eastAsia"/>
        </w:rPr>
        <w:t>五、填写</w:t>
      </w:r>
      <w:r>
        <w:tab/>
      </w:r>
      <w:r>
        <w:fldChar w:fldCharType="begin"/>
      </w:r>
      <w:r>
        <w:instrText xml:space="preserve"> PAGEREF _Toc3367991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8"/>
      </w:pPr>
      <w:r>
        <w:fldChar w:fldCharType="begin"/>
      </w:r>
      <w:r>
        <w:instrText xml:space="preserve">HYPERLINK  \l "_Toc3367992" </w:instrText>
      </w:r>
      <w:r>
        <w:fldChar w:fldCharType="separate"/>
      </w:r>
      <w:r>
        <w:rPr>
          <w:rStyle w:val="10"/>
          <w:rFonts w:hint="eastAsia"/>
        </w:rPr>
        <w:t>六、发送</w:t>
      </w:r>
      <w:r>
        <w:tab/>
      </w:r>
      <w:r>
        <w:fldChar w:fldCharType="begin"/>
      </w:r>
      <w:r>
        <w:instrText xml:space="preserve"> PAGEREF _Toc3367992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8"/>
      </w:pPr>
      <w:r>
        <w:fldChar w:fldCharType="begin"/>
      </w:r>
      <w:r>
        <w:instrText xml:space="preserve">HYPERLINK  \l "_Toc3367993" </w:instrText>
      </w:r>
      <w:r>
        <w:fldChar w:fldCharType="separate"/>
      </w:r>
      <w:r>
        <w:rPr>
          <w:rStyle w:val="10"/>
          <w:rFonts w:hint="eastAsia"/>
        </w:rPr>
        <w:t>七、收取</w:t>
      </w:r>
      <w:r>
        <w:tab/>
      </w:r>
      <w:r>
        <w:fldChar w:fldCharType="begin"/>
      </w:r>
      <w:r>
        <w:instrText xml:space="preserve"> PAGEREF _Toc3367993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8"/>
      </w:pPr>
      <w:r>
        <w:fldChar w:fldCharType="begin"/>
      </w:r>
      <w:r>
        <w:instrText xml:space="preserve">HYPERLINK  \l "_Toc3367994" </w:instrText>
      </w:r>
      <w:r>
        <w:fldChar w:fldCharType="separate"/>
      </w:r>
      <w:r>
        <w:rPr>
          <w:rStyle w:val="10"/>
          <w:rFonts w:hint="eastAsia"/>
        </w:rPr>
        <w:t>八、缴款</w:t>
      </w:r>
      <w:r>
        <w:tab/>
      </w:r>
      <w:r>
        <w:fldChar w:fldCharType="begin"/>
      </w:r>
      <w:r>
        <w:instrText xml:space="preserve"> PAGEREF _Toc3367994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8"/>
      </w:pPr>
      <w:r>
        <w:fldChar w:fldCharType="begin"/>
      </w:r>
      <w:r>
        <w:instrText xml:space="preserve">HYPERLINK  \l "_Toc3367995" </w:instrText>
      </w:r>
      <w:r>
        <w:fldChar w:fldCharType="separate"/>
      </w:r>
      <w:r>
        <w:rPr>
          <w:rStyle w:val="10"/>
          <w:rFonts w:hint="eastAsia"/>
        </w:rPr>
        <w:t>九、大厅申报</w:t>
      </w:r>
      <w:r>
        <w:tab/>
      </w:r>
      <w:r>
        <w:fldChar w:fldCharType="begin"/>
      </w:r>
      <w:r>
        <w:instrText xml:space="preserve"> PAGEREF _Toc3367995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8"/>
      </w:pPr>
      <w:r>
        <w:fldChar w:fldCharType="begin"/>
      </w:r>
      <w:r>
        <w:instrText xml:space="preserve">HYPERLINK  \l "_Toc3367996" </w:instrText>
      </w:r>
      <w:r>
        <w:fldChar w:fldCharType="separate"/>
      </w:r>
      <w:r>
        <w:rPr>
          <w:rStyle w:val="10"/>
          <w:rFonts w:hint="eastAsia"/>
        </w:rPr>
        <w:t>十、作废更正</w:t>
      </w:r>
      <w:r>
        <w:tab/>
      </w:r>
      <w:r>
        <w:fldChar w:fldCharType="begin"/>
      </w:r>
      <w:r>
        <w:instrText xml:space="preserve"> PAGEREF _Toc3367996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8"/>
      </w:pPr>
      <w:r>
        <w:fldChar w:fldCharType="begin"/>
      </w:r>
      <w:r>
        <w:instrText xml:space="preserve">HYPERLINK  \l "_Toc3367997" </w:instrText>
      </w:r>
      <w:r>
        <w:fldChar w:fldCharType="separate"/>
      </w:r>
      <w:r>
        <w:rPr>
          <w:rStyle w:val="10"/>
          <w:rFonts w:hint="eastAsia"/>
        </w:rPr>
        <w:t>十一、纳税人服务</w:t>
      </w:r>
      <w:r>
        <w:tab/>
      </w:r>
      <w:r>
        <w:fldChar w:fldCharType="begin"/>
      </w:r>
      <w:r>
        <w:instrText xml:space="preserve"> PAGEREF _Toc3367997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spacing w:line="360" w:lineRule="auto"/>
        <w:rPr>
          <w:sz w:val="24"/>
        </w:rPr>
      </w:pPr>
      <w:r>
        <w:fldChar w:fldCharType="end"/>
      </w:r>
    </w:p>
    <w:p>
      <w:pPr>
        <w:widowControl/>
        <w:jc w:val="left"/>
        <w:rPr>
          <w:sz w:val="52"/>
          <w:szCs w:val="52"/>
        </w:rPr>
      </w:pPr>
      <w:r>
        <w:rPr>
          <w:sz w:val="52"/>
          <w:szCs w:val="52"/>
        </w:rPr>
        <w:br w:type="page"/>
      </w:r>
    </w:p>
    <w:p>
      <w:pPr>
        <w:pStyle w:val="2"/>
        <w:spacing w:line="360" w:lineRule="auto"/>
      </w:pPr>
      <w:bookmarkStart w:id="0" w:name="_Toc3367987"/>
      <w:r>
        <w:t>一</w:t>
      </w:r>
      <w:r>
        <w:rPr>
          <w:rFonts w:hint="eastAsia"/>
        </w:rPr>
        <w:t>、</w:t>
      </w:r>
      <w:r>
        <w:t>概述</w:t>
      </w:r>
      <w:bookmarkEnd w:id="0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纳税人可以通过eTax@SH 3电子</w:t>
      </w:r>
      <w:r>
        <w:rPr>
          <w:rFonts w:hint="eastAsia"/>
          <w:sz w:val="24"/>
        </w:rPr>
        <w:t>申报</w:t>
      </w:r>
      <w:r>
        <w:rPr>
          <w:rFonts w:hint="eastAsia"/>
          <w:sz w:val="24"/>
          <w:szCs w:val="24"/>
        </w:rPr>
        <w:t>软件进行年度汇算清缴。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可申报报表包含：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（一）居民企业企业所得税年度申报表3套：</w:t>
      </w:r>
    </w:p>
    <w:p>
      <w:pPr>
        <w:tabs>
          <w:tab w:val="left" w:pos="2160"/>
        </w:tabs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1. SD006 居民企业（查账征收）企业所得税年度申报；</w:t>
      </w:r>
    </w:p>
    <w:p>
      <w:pPr>
        <w:tabs>
          <w:tab w:val="left" w:pos="2160"/>
        </w:tabs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2. SD087居民企业所得税纳税申报（适用核定征收）；</w:t>
      </w:r>
    </w:p>
    <w:p>
      <w:pPr>
        <w:tabs>
          <w:tab w:val="left" w:pos="2160"/>
        </w:tabs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3. SD142 跨地区经营汇总纳税企业的分支机构年度纳税申报表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（二）非居民企业企业所得税年度申报2套：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1. SD089 非居民企业（据实申报）企业所得税年度申报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2. SD099非居民企业（核定征收）企业所得税申报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（三）资料与信息：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1. SD119 关联业务往来报告年度申报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2. 15套财务报表年报</w:t>
      </w:r>
    </w:p>
    <w:p>
      <w:pPr>
        <w:spacing w:line="360" w:lineRule="auto"/>
        <w:rPr>
          <w:sz w:val="24"/>
          <w:szCs w:val="24"/>
        </w:rPr>
      </w:pPr>
    </w:p>
    <w:p>
      <w:pPr>
        <w:pStyle w:val="2"/>
        <w:spacing w:line="360" w:lineRule="auto"/>
      </w:pPr>
      <w:bookmarkStart w:id="1" w:name="_Toc3367988"/>
      <w:r>
        <w:rPr>
          <w:rFonts w:hint="eastAsia"/>
        </w:rPr>
        <w:t>二、软件下载安装</w:t>
      </w:r>
      <w:bookmarkEnd w:id="1"/>
    </w:p>
    <w:p>
      <w:pPr>
        <w:spacing w:line="360" w:lineRule="auto"/>
        <w:ind w:firstLine="482" w:firstLineChars="20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*如果已有电子申报软件，无需重新安装。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下载地址：http://etax.shanghai.chinatax.gov.cn/e3/eTaxCM/install </w:t>
      </w:r>
    </w:p>
    <w:p>
      <w:pPr>
        <w:spacing w:line="360" w:lineRule="auto"/>
        <w:ind w:firstLine="960" w:firstLineChars="400"/>
        <w:rPr>
          <w:sz w:val="24"/>
          <w:szCs w:val="24"/>
        </w:rPr>
      </w:pPr>
      <w:r>
        <w:rPr>
          <w:rFonts w:hint="eastAsia"/>
          <w:sz w:val="24"/>
          <w:szCs w:val="24"/>
        </w:rPr>
        <w:t>下载安装MS .net Framework 2.0（32位）或（64位）</w:t>
      </w:r>
    </w:p>
    <w:p>
      <w:pPr>
        <w:spacing w:line="360" w:lineRule="auto"/>
        <w:ind w:firstLine="960" w:firstLineChars="400"/>
        <w:rPr>
          <w:sz w:val="24"/>
          <w:szCs w:val="24"/>
        </w:rPr>
      </w:pPr>
      <w:r>
        <w:rPr>
          <w:rFonts w:hint="eastAsia"/>
          <w:sz w:val="24"/>
          <w:szCs w:val="24"/>
        </w:rPr>
        <w:t>下载安装CA证书管理器-协卡助手</w:t>
      </w:r>
    </w:p>
    <w:p>
      <w:pPr>
        <w:spacing w:line="360" w:lineRule="auto"/>
        <w:ind w:firstLine="960" w:firstLineChars="400"/>
        <w:rPr>
          <w:sz w:val="24"/>
          <w:szCs w:val="24"/>
        </w:rPr>
      </w:pPr>
      <w:r>
        <w:rPr>
          <w:rFonts w:hint="eastAsia"/>
          <w:sz w:val="24"/>
          <w:szCs w:val="24"/>
        </w:rPr>
        <w:t>下载安装eTax@SH 3 Windows版</w:t>
      </w:r>
    </w:p>
    <w:p>
      <w:pPr>
        <w:spacing w:line="360" w:lineRule="auto"/>
        <w:ind w:firstLine="480" w:firstLineChars="200"/>
        <w:rPr>
          <w:b/>
          <w:bCs/>
          <w:kern w:val="44"/>
          <w:sz w:val="44"/>
          <w:szCs w:val="44"/>
        </w:rPr>
      </w:pPr>
      <w:r>
        <w:rPr>
          <w:rFonts w:hint="eastAsia"/>
          <w:sz w:val="24"/>
          <w:szCs w:val="24"/>
        </w:rPr>
        <w:t>使用时，插好CA证书连好网。</w:t>
      </w:r>
    </w:p>
    <w:p>
      <w:pPr>
        <w:pStyle w:val="2"/>
        <w:spacing w:line="360" w:lineRule="auto"/>
      </w:pPr>
      <w:bookmarkStart w:id="2" w:name="_Toc3367989"/>
      <w:r>
        <w:rPr>
          <w:rFonts w:hint="eastAsia"/>
        </w:rPr>
        <w:t>三、更新软件</w:t>
      </w:r>
      <w:bookmarkEnd w:id="2"/>
    </w:p>
    <w:p>
      <w:pPr>
        <w:ind w:firstLine="420"/>
        <w:rPr>
          <w:sz w:val="24"/>
        </w:rPr>
      </w:pPr>
      <w:r>
        <w:rPr>
          <w:rFonts w:hint="eastAsia"/>
          <w:b/>
          <w:color w:val="FF0000"/>
          <w:sz w:val="24"/>
        </w:rPr>
        <w:t>每次打开软件，软件会自动更新到最新版本。</w:t>
      </w:r>
    </w:p>
    <w:p>
      <w:pPr>
        <w:ind w:firstLine="420"/>
        <w:rPr>
          <w:sz w:val="24"/>
        </w:rPr>
      </w:pPr>
    </w:p>
    <w:p>
      <w:pPr>
        <w:pStyle w:val="2"/>
        <w:spacing w:line="360" w:lineRule="auto"/>
      </w:pPr>
      <w:bookmarkStart w:id="3" w:name="_Toc3367990"/>
      <w:r>
        <w:rPr>
          <w:rFonts w:hint="eastAsia"/>
        </w:rPr>
        <w:t>四、更新核定</w:t>
      </w:r>
      <w:bookmarkEnd w:id="3"/>
    </w:p>
    <w:p>
      <w:pPr>
        <w:spacing w:line="360" w:lineRule="auto"/>
        <w:ind w:firstLine="42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填写报表前，因为有部分表需要带出初始化数据，请确保当月更新过核定信息。如果初始化数据有误，请及时联系主管税务机关，调整后，可通过手动更新核定至最新数据。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主界面-【账户】-右上角【更新核定】。</w:t>
      </w:r>
      <w:r>
        <w:rPr>
          <w:rFonts w:ascii="Calibri" w:hAnsi="Calibri" w:eastAsia="宋体"/>
          <w:kern w:val="2"/>
          <w:sz w:val="24"/>
          <w:szCs w:val="22"/>
          <w:lang w:val="en-US" w:eastAsia="zh-CN" w:bidi="ar-SA"/>
        </w:rPr>
        <w:pict>
          <v:shape id="图片 4" o:spid="_x0000_s1027" type="#_x0000_t75" style="height:291.2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sz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Oval 3" o:spid="_x0000_s1028" type="#_x0000_t3" style="position:absolute;left:0;margin-left:159.95pt;margin-top:343.7pt;height:34.15pt;width:89.6pt;rotation:0f;z-index:251658240;" o:ole="f" fillcolor="#FFFFFF" filled="f" o:preferrelative="t" stroked="t" coordorigin="0,0" coordsize="21600,21600">
            <v:fill on="f" color2="#FFFFFF" focus="0%"/>
            <v:stroke weight="4.5pt" color="#FF000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  <w:r>
        <w:rPr>
          <w:rFonts w:hint="eastAsia" w:ascii="Calibri" w:hAnsi="Calibri" w:eastAsia="宋体"/>
          <w:kern w:val="2"/>
          <w:sz w:val="24"/>
          <w:szCs w:val="22"/>
          <w:lang w:val="en-US" w:eastAsia="zh-CN" w:bidi="ar-SA"/>
        </w:rPr>
        <w:pict>
          <v:shape id="图片 7" o:spid="_x0000_s1029" type="#_x0000_t75" style="height:134.2pt;width:287.0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46" o:spid="_x0000_s1030" type="#_x0000_t75" style="height:307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spacing w:line="360" w:lineRule="auto"/>
      </w:pPr>
      <w:bookmarkStart w:id="4" w:name="_Toc3367991"/>
      <w:r>
        <w:rPr>
          <w:rFonts w:hint="eastAsia"/>
        </w:rPr>
        <w:t>五、填写</w:t>
      </w:r>
      <w:bookmarkEnd w:id="4"/>
    </w:p>
    <w:p>
      <w:pPr>
        <w:spacing w:line="360" w:lineRule="auto"/>
        <w:rPr>
          <w:b/>
          <w:color w:val="FF0000"/>
          <w:sz w:val="24"/>
        </w:rPr>
      </w:pPr>
      <w:r>
        <w:rPr>
          <w:rFonts w:hint="eastAsia"/>
          <w:sz w:val="24"/>
        </w:rPr>
        <w:t>1. 居民企业企业所得税年度申报表3套+非居民企业企业所得税年度申报表2套，在【税费申报】中进行选择填写。</w:t>
      </w:r>
      <w:r>
        <w:rPr>
          <w:rFonts w:hint="eastAsia"/>
          <w:b/>
          <w:color w:val="FF0000"/>
          <w:sz w:val="24"/>
        </w:rPr>
        <w:t>请留意税款所属期。</w:t>
      </w:r>
    </w:p>
    <w:p>
      <w:pPr>
        <w:spacing w:line="360" w:lineRule="auto"/>
        <w:rPr>
          <w:b/>
          <w:color w:val="FF0000"/>
          <w:sz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49" o:spid="_x0000_s1031" type="#_x0000_t75" style="height:255.75pt;width:4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2. 关联业务往来报告年度申报表+年度会计报表15套，在【资料与信息】中进行选择填写。</w:t>
      </w:r>
      <w:r>
        <w:rPr>
          <w:rFonts w:hint="eastAsia"/>
          <w:b/>
          <w:color w:val="FF0000"/>
          <w:sz w:val="24"/>
        </w:rPr>
        <w:t>请留意申报所属期。</w:t>
      </w:r>
    </w:p>
    <w:p>
      <w:pPr>
        <w:spacing w:line="360" w:lineRule="auto"/>
        <w:rPr>
          <w:sz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51" o:spid="_x0000_s1032" type="#_x0000_t75" style="height:255.75pt;width:4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3. 填写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（1）A类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填写核对企业基础信息表-下一步选择报表-保存，进入报表填写界面</w:t>
      </w:r>
    </w:p>
    <w:p>
      <w:pPr>
        <w:spacing w:line="360" w:lineRule="auto"/>
        <w:ind w:firstLine="480" w:firstLineChars="200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52" o:spid="_x0000_s1033" type="#_x0000_t75" style="height:263.6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20" w:firstLineChars="200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53" o:spid="_x0000_s1034" type="#_x0000_t75" style="height:263.6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</w:pPr>
    </w:p>
    <w:p>
      <w:pPr>
        <w:spacing w:line="360" w:lineRule="auto"/>
        <w:ind w:firstLine="420" w:firstLineChars="200"/>
        <w:rPr>
          <w:sz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75" o:spid="_x0000_s1035" type="#_x0000_t75" style="height:336.1pt;width:414.7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（2）B类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填写核对基础信息表，进入报表填写界面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56" o:spid="_x0000_s1036" type="#_x0000_t75" style="height:214pt;width:415.1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20" w:firstLineChars="200"/>
        <w:rPr>
          <w:sz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57" o:spid="_x0000_s1037" type="#_x0000_t75" style="height:282.15pt;width:415.1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（3）C类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填写报表</w:t>
      </w:r>
    </w:p>
    <w:p>
      <w:pPr>
        <w:spacing w:line="360" w:lineRule="auto"/>
        <w:ind w:firstLine="420"/>
        <w:rPr>
          <w:sz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58" o:spid="_x0000_s1038" type="#_x0000_t75" style="height:305pt;width:395.4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（4）非居民据实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填写报表</w:t>
      </w:r>
    </w:p>
    <w:p>
      <w:pPr>
        <w:spacing w:line="360" w:lineRule="auto"/>
        <w:ind w:firstLine="420"/>
        <w:rPr>
          <w:rFonts w:hint="eastAsia" w:eastAsia="宋体"/>
          <w:sz w:val="24"/>
          <w:lang w:eastAsia="zh-CN"/>
        </w:rPr>
      </w:pPr>
      <w:bookmarkStart w:id="11" w:name="_GoBack"/>
      <w:r>
        <w:rPr>
          <w:rFonts w:hint="eastAsia" w:ascii="Calibri" w:hAnsi="Calibri" w:eastAsia="宋体"/>
          <w:kern w:val="2"/>
          <w:sz w:val="24"/>
          <w:szCs w:val="22"/>
          <w:lang w:val="en-US" w:eastAsia="zh-CN" w:bidi="ar-SA"/>
        </w:rPr>
        <w:pict>
          <v:shape id="图片 78" o:spid="_x0000_s1039" type="#_x0000_t75" style="height:255.75pt;width:414.8pt;rotation:0f;" o:ole="f" fillcolor="#FFFFFF" filled="f" o:preferrelative="t" stroked="f" coordorigin="0,0" coordsize="21600,21600">
            <v:fill on="f" color2="#FFFFFF" focus="0%"/>
            <v:imagedata gain="65536f" blacklevel="0f" gamma="0" o:title="1585710959" r:id="rId17"/>
            <o:lock v:ext="edit" position="f" selection="f" grouping="f" rotation="f" cropping="f" text="f" aspectratio="t"/>
            <w10:wrap type="none"/>
            <w10:anchorlock/>
          </v:shape>
        </w:pict>
      </w:r>
      <w:bookmarkEnd w:id="11"/>
    </w:p>
    <w:p>
      <w:pPr>
        <w:spacing w:line="360" w:lineRule="auto"/>
        <w:ind w:firstLine="42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（5）非居民核定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填写报表</w:t>
      </w:r>
    </w:p>
    <w:p>
      <w:pPr>
        <w:spacing w:line="360" w:lineRule="auto"/>
        <w:ind w:firstLine="420"/>
        <w:rPr>
          <w:sz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77" o:spid="_x0000_s1040" type="#_x0000_t75" style="height:306.45pt;width:405.9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（6）关联业务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填写核对报告企业信息表-下一步选择报表-保存，进入报表填写界面</w:t>
      </w:r>
    </w:p>
    <w:p>
      <w:pPr>
        <w:spacing w:line="360" w:lineRule="auto"/>
        <w:ind w:firstLine="420"/>
        <w:rPr>
          <w:sz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59" o:spid="_x0000_s1041" type="#_x0000_t75" style="height:264.1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20"/>
        <w:rPr>
          <w:sz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60" o:spid="_x0000_s1042" type="#_x0000_t75" style="height:264.1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20"/>
        <w:rPr>
          <w:sz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61" o:spid="_x0000_s1043" type="#_x0000_t75" style="height:358.7pt;width:41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（7）年度会计报表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填写报表</w:t>
      </w:r>
    </w:p>
    <w:p>
      <w:pPr>
        <w:spacing w:line="360" w:lineRule="auto"/>
        <w:ind w:firstLine="420"/>
        <w:rPr>
          <w:sz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63" o:spid="_x0000_s1044" type="#_x0000_t75" style="height:242.8pt;width:414.9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spacing w:line="360" w:lineRule="auto"/>
      </w:pPr>
      <w:bookmarkStart w:id="5" w:name="_Toc3367992"/>
      <w:r>
        <w:rPr>
          <w:rFonts w:hint="eastAsia"/>
        </w:rPr>
        <w:t>六、发送</w:t>
      </w:r>
      <w:bookmarkEnd w:id="5"/>
    </w:p>
    <w:p>
      <w:pPr>
        <w:spacing w:line="360" w:lineRule="auto"/>
        <w:ind w:firstLine="482" w:firstLineChars="20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先填年度会计报表，再填所得税年度报表，建议一起发送。</w:t>
      </w:r>
    </w:p>
    <w:p>
      <w:pPr>
        <w:spacing w:line="360" w:lineRule="auto"/>
        <w:ind w:firstLine="482" w:firstLineChars="20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如需进行风险控制，请先申报年度会计报表，隔天申报所得税年度报表。</w:t>
      </w:r>
    </w:p>
    <w:p>
      <w:pPr>
        <w:spacing w:line="360" w:lineRule="auto"/>
        <w:ind w:firstLine="482" w:firstLineChars="20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如需申报关联业务，请先申报所得税年度报表。</w:t>
      </w:r>
    </w:p>
    <w:p>
      <w:pPr>
        <w:spacing w:line="360" w:lineRule="auto"/>
        <w:ind w:firstLine="482" w:firstLineChars="200"/>
        <w:rPr>
          <w:b/>
          <w:color w:val="FF0000"/>
          <w:sz w:val="24"/>
        </w:rPr>
      </w:pPr>
      <w:r>
        <w:rPr>
          <w:b/>
          <w:color w:val="FF0000"/>
          <w:sz w:val="24"/>
        </w:rPr>
        <w:t>有审核错误的报表不能发送</w:t>
      </w:r>
      <w:r>
        <w:rPr>
          <w:rFonts w:hint="eastAsia"/>
          <w:b/>
          <w:color w:val="FF0000"/>
          <w:sz w:val="24"/>
        </w:rPr>
        <w:t>，</w:t>
      </w:r>
      <w:r>
        <w:rPr>
          <w:b/>
          <w:color w:val="FF0000"/>
          <w:sz w:val="24"/>
        </w:rPr>
        <w:t>请重新打开报表按提示进行修改</w:t>
      </w:r>
      <w:r>
        <w:rPr>
          <w:rFonts w:hint="eastAsia"/>
          <w:b/>
          <w:color w:val="FF0000"/>
          <w:sz w:val="24"/>
        </w:rPr>
        <w:t>，</w:t>
      </w:r>
      <w:r>
        <w:rPr>
          <w:b/>
          <w:color w:val="FF0000"/>
          <w:sz w:val="24"/>
        </w:rPr>
        <w:t>直至审核通过</w:t>
      </w:r>
      <w:r>
        <w:rPr>
          <w:rFonts w:hint="eastAsia"/>
          <w:b/>
          <w:color w:val="FF0000"/>
          <w:sz w:val="24"/>
        </w:rPr>
        <w:t>。</w:t>
      </w:r>
    </w:p>
    <w:p>
      <w:pPr>
        <w:spacing w:line="360" w:lineRule="auto"/>
        <w:rPr>
          <w:b/>
          <w:color w:val="FF0000"/>
          <w:sz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66" o:spid="_x0000_s1045" type="#_x0000_t75" style="height:245.2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67" o:spid="_x0000_s1046" type="#_x0000_t75" style="height:162.35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>
      <w:pPr>
        <w:pStyle w:val="2"/>
        <w:spacing w:line="360" w:lineRule="auto"/>
      </w:pPr>
      <w:bookmarkStart w:id="6" w:name="_Toc3367993"/>
      <w:r>
        <w:rPr>
          <w:rFonts w:hint="eastAsia"/>
        </w:rPr>
        <w:t>七、收取</w:t>
      </w:r>
      <w:bookmarkEnd w:id="6"/>
    </w:p>
    <w:p>
      <w:pPr>
        <w:spacing w:line="360" w:lineRule="auto"/>
        <w:rPr>
          <w:sz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68" o:spid="_x0000_s1047" type="#_x0000_t75" style="height:150.5pt;width:399.4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sz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70" o:spid="_x0000_s1048" type="#_x0000_t75" style="height:233.45pt;width:405.4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sz w:val="24"/>
        </w:rPr>
      </w:pPr>
    </w:p>
    <w:p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>
      <w:pPr>
        <w:pStyle w:val="2"/>
        <w:spacing w:line="360" w:lineRule="auto"/>
      </w:pPr>
      <w:bookmarkStart w:id="7" w:name="_Toc3367994"/>
      <w:r>
        <w:rPr>
          <w:rFonts w:hint="eastAsia"/>
        </w:rPr>
        <w:t>八、缴款</w:t>
      </w:r>
      <w:bookmarkEnd w:id="7"/>
    </w:p>
    <w:p>
      <w:pPr>
        <w:ind w:firstLine="480"/>
        <w:rPr>
          <w:sz w:val="24"/>
        </w:rPr>
      </w:pPr>
      <w:r>
        <w:rPr>
          <w:rFonts w:hint="eastAsia"/>
          <w:sz w:val="24"/>
        </w:rPr>
        <w:t>点击主界面-【缴款】进行缴款操作。</w:t>
      </w:r>
    </w:p>
    <w:p>
      <w:pPr>
        <w:ind w:firstLine="48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注意缴款后将无法作废申报，汇算清缴的缴款期限为5月31日，也请避免最后几天缴款。</w:t>
      </w:r>
    </w:p>
    <w:p>
      <w:pPr>
        <w:pStyle w:val="2"/>
        <w:spacing w:line="360" w:lineRule="auto"/>
      </w:pPr>
      <w:bookmarkStart w:id="8" w:name="_Toc3367995"/>
      <w:r>
        <w:rPr>
          <w:rFonts w:hint="eastAsia"/>
        </w:rPr>
        <w:t>九、大厅申报</w:t>
      </w:r>
      <w:bookmarkEnd w:id="8"/>
    </w:p>
    <w:p>
      <w:pPr>
        <w:spacing w:line="360" w:lineRule="auto"/>
        <w:ind w:firstLine="48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因特殊情况，需大厅申报的企业，可在客户端填写完报表，审核通过后，点击离线申报按钮，将文件带至大厅申报。</w:t>
      </w:r>
    </w:p>
    <w:p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目前离线申报功能仅针对：</w:t>
      </w:r>
    </w:p>
    <w:p>
      <w:pPr>
        <w:tabs>
          <w:tab w:val="left" w:pos="2160"/>
        </w:tabs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1. SD006 居民企业（查账征收）企业所得税年度申报；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2. 15套财务报表年报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74" o:spid="_x0000_s1049" type="#_x0000_t75" style="height:233.6pt;width:415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20" w:firstLineChars="200"/>
        <w:rPr>
          <w:sz w:val="24"/>
          <w:szCs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72" o:spid="_x0000_s1050" type="#_x0000_t75" style="height:228.3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>
      <w:pPr>
        <w:pStyle w:val="2"/>
        <w:spacing w:line="360" w:lineRule="auto"/>
      </w:pPr>
      <w:bookmarkStart w:id="9" w:name="_Toc3367996"/>
      <w:r>
        <w:rPr>
          <w:rFonts w:hint="eastAsia"/>
        </w:rPr>
        <w:t>十、作废更正</w:t>
      </w:r>
      <w:bookmarkEnd w:id="9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如果申报成功，尚未缴款，发现错误，可使用菜单-文件-申报作废。</w:t>
      </w:r>
    </w:p>
    <w:p>
      <w:pPr>
        <w:spacing w:line="360" w:lineRule="auto"/>
        <w:ind w:firstLine="480" w:firstLineChars="200"/>
        <w:jc w:val="center"/>
        <w:rPr>
          <w:sz w:val="24"/>
        </w:rPr>
      </w:pPr>
      <w:r>
        <w:rPr>
          <w:rFonts w:ascii="Calibri" w:hAnsi="Calibri" w:eastAsia="宋体"/>
          <w:kern w:val="2"/>
          <w:sz w:val="24"/>
          <w:szCs w:val="22"/>
          <w:lang w:val="en-US" w:eastAsia="zh-CN" w:bidi="ar-SA"/>
        </w:rPr>
        <w:pict>
          <v:rect id="Rectangle 6" o:spid="_x0000_s1051" style="position:absolute;left:0;margin-left:143pt;margin-top:92.05pt;height:15.5pt;width:109.8pt;rotation:0f;z-index:251670528;" o:ole="f" fillcolor="#FFFFFF" filled="f" o:preferrelative="t" stroked="t" coordsize="21600,21600">
            <v:fill on="f" color2="#FFFFFF" focus="0%"/>
            <v:stroke weight="4.5pt" color="#FF0000" color2="#FFFFFF" miterlimit="2"/>
            <v:imagedata gain="65536f" blacklevel="0f" gamma="0"/>
            <o:lock v:ext="edit" position="f" selection="f" grouping="f" rotation="f" cropping="f" text="f" aspectratio="f"/>
          </v:rect>
        </w:pict>
      </w:r>
      <w:r>
        <w:rPr>
          <w:rFonts w:ascii="Calibri" w:hAnsi="Calibri" w:eastAsia="宋体"/>
          <w:kern w:val="2"/>
          <w:sz w:val="24"/>
          <w:szCs w:val="22"/>
          <w:lang w:val="en-US" w:eastAsia="zh-CN" w:bidi="ar-SA"/>
        </w:rPr>
        <w:pict>
          <v:shape id="图片 25" o:spid="_x0000_s1052" type="#_x0000_t75" style="height:174.55pt;width:205.8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如果申报成功，已经缴款，发现错误，可使用菜单-文件-更正申报填写。</w:t>
      </w:r>
    </w:p>
    <w:p>
      <w:pPr>
        <w:jc w:val="center"/>
        <w:rPr>
          <w:b/>
          <w:bCs/>
          <w:kern w:val="44"/>
          <w:sz w:val="44"/>
          <w:szCs w:val="44"/>
        </w:rPr>
      </w:pPr>
      <w:r>
        <w:rPr>
          <w:rFonts w:ascii="Calibri" w:hAnsi="Calibri" w:eastAsia="宋体"/>
          <w:kern w:val="2"/>
          <w:sz w:val="24"/>
          <w:szCs w:val="22"/>
          <w:lang w:val="en-US" w:eastAsia="zh-CN" w:bidi="ar-SA"/>
        </w:rPr>
        <w:pict>
          <v:rect id="Rectangle 5" o:spid="_x0000_s1053" style="position:absolute;left:0;margin-left:131.9pt;margin-top:106.25pt;height:15.5pt;width:109.8pt;rotation:0f;z-index:251671552;" o:ole="f" fillcolor="#FFFFFF" filled="f" o:preferrelative="t" stroked="t" coordsize="21600,21600">
            <v:fill on="f" color2="#FFFFFF" focus="0%"/>
            <v:stroke weight="4.5pt" color="#FF0000" color2="#FFFFFF" miterlimit="2"/>
            <v:imagedata gain="65536f" blacklevel="0f" gamma="0"/>
            <o:lock v:ext="edit" position="f" selection="f" grouping="f" rotation="f" cropping="f" text="f" aspectratio="f"/>
          </v:rect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5" o:spid="_x0000_s1054" type="#_x0000_t75" style="height:174.55pt;width:205.8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"/>
        <w:spacing w:line="360" w:lineRule="auto"/>
      </w:pPr>
      <w:bookmarkStart w:id="10" w:name="_Toc3367997"/>
      <w:r>
        <w:rPr>
          <w:rFonts w:hint="eastAsia"/>
        </w:rPr>
        <w:t>十一、纳税人服务</w:t>
      </w:r>
      <w:bookmarkEnd w:id="10"/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（一）期初数据、业务问题请联系主管税务机关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对业务问题，如主管税务机关支持，可导出账户至主管税务机关指导填写。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eTax@SH 3 电子申报软件填写后保存，导出账户。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主管税务机关通过导入账户方式，查看企业草稿箱内已填写的报表。</w:t>
      </w:r>
    </w:p>
    <w:p>
      <w:pPr>
        <w:spacing w:line="360" w:lineRule="auto"/>
        <w:jc w:val="center"/>
        <w:rPr>
          <w:sz w:val="24"/>
        </w:rPr>
      </w:pPr>
      <w:r>
        <w:rPr>
          <w:rFonts w:ascii="Calibri" w:hAnsi="Calibri" w:eastAsia="宋体"/>
          <w:kern w:val="2"/>
          <w:sz w:val="24"/>
          <w:szCs w:val="22"/>
          <w:lang w:val="en-US" w:eastAsia="zh-CN" w:bidi="ar-SA"/>
        </w:rPr>
        <w:pict>
          <v:rect id="Rectangle 8" o:spid="_x0000_s1055" style="position:absolute;left:0;margin-left:125.55pt;margin-top:191.25pt;height:40.1pt;width:109.8pt;rotation:0f;z-index:251662336;" o:ole="f" fillcolor="#FFFFFF" filled="f" o:preferrelative="t" stroked="t" coordsize="21600,21600">
            <v:fill on="f" color2="#FFFFFF" focus="0%"/>
            <v:stroke weight="4.5pt" color="#FF0000" color2="#FFFFFF" miterlimit="2"/>
            <v:imagedata gain="65536f" blacklevel="0f" gamma="0"/>
            <o:lock v:ext="edit" position="f" selection="f" grouping="f" rotation="f" cropping="f" text="f" aspectratio="f"/>
          </v:rect>
        </w:pict>
      </w:r>
      <w:r>
        <w:rPr>
          <w:rFonts w:ascii="Calibri" w:hAnsi="Calibri" w:eastAsia="宋体"/>
          <w:kern w:val="2"/>
          <w:sz w:val="24"/>
          <w:szCs w:val="22"/>
          <w:lang w:val="en-US" w:eastAsia="zh-CN" w:bidi="ar-SA"/>
        </w:rPr>
        <w:pict>
          <v:shape id="图片 8" o:spid="_x0000_s1056" type="#_x0000_t75" style="height:247.65pt;width:222.75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（二）软件问题请联系对口的网上电子申报服务商；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填写过程中，遇到程序及操作问题，可</w:t>
      </w:r>
      <w:r>
        <w:rPr>
          <w:rFonts w:hint="eastAsia"/>
          <w:b/>
          <w:color w:val="FF0000"/>
          <w:sz w:val="24"/>
        </w:rPr>
        <w:t>通过在线咨询联系服务商</w:t>
      </w:r>
      <w:r>
        <w:rPr>
          <w:rFonts w:hint="eastAsia"/>
          <w:sz w:val="24"/>
        </w:rPr>
        <w:t>，点击“服务热线”-“在线客服”</w:t>
      </w:r>
    </w:p>
    <w:p>
      <w:pPr>
        <w:spacing w:line="360" w:lineRule="auto"/>
        <w:ind w:firstLine="420" w:firstLineChars="200"/>
        <w:rPr>
          <w:b/>
          <w:color w:val="FF0000"/>
          <w:sz w:val="24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1" o:spid="_x0000_s1057" type="#_x0000_t75" style="height:33.75pt;width:135.75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82" w:firstLineChars="20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如果发现程序问题，可通过菜单-帮助-发送账户数据到后台，并联系网上电子申报服务公司。</w:t>
      </w:r>
    </w:p>
    <w:p>
      <w:pPr>
        <w:spacing w:line="360" w:lineRule="auto"/>
        <w:jc w:val="center"/>
        <w:rPr>
          <w:sz w:val="24"/>
        </w:rPr>
      </w:pPr>
      <w:r>
        <w:rPr>
          <w:rFonts w:ascii="Calibri" w:hAnsi="Calibri" w:eastAsia="宋体"/>
          <w:kern w:val="2"/>
          <w:sz w:val="24"/>
          <w:szCs w:val="22"/>
          <w:lang w:val="en-US" w:eastAsia="zh-CN" w:bidi="ar-SA"/>
        </w:rPr>
        <w:pict>
          <v:rect id="Rectangle 3" o:spid="_x0000_s1058" style="position:absolute;left:0;margin-left:109pt;margin-top:223.45pt;height:61.15pt;width:109.8pt;rotation:0f;z-index:251669504;" o:ole="f" fillcolor="#FFFFFF" filled="f" o:preferrelative="t" stroked="t" coordsize="21600,21600">
            <v:fill on="f" color2="#FFFFFF" focus="0%"/>
            <v:stroke weight="4.5pt" color="#FF0000" color2="#FFFFFF" miterlimit="2"/>
            <v:imagedata gain="65536f" blacklevel="0f" gamma="0"/>
            <o:lock v:ext="edit" position="f" selection="f" grouping="f" rotation="f" cropping="f" text="f" aspectratio="f"/>
          </v:rect>
        </w:pict>
      </w:r>
      <w:r>
        <w:rPr>
          <w:rFonts w:ascii="Calibri" w:hAnsi="Calibri" w:eastAsia="宋体"/>
          <w:kern w:val="2"/>
          <w:sz w:val="24"/>
          <w:szCs w:val="22"/>
          <w:lang w:val="en-US" w:eastAsia="zh-CN" w:bidi="ar-SA"/>
        </w:rPr>
        <w:pict>
          <v:shape id="图片 9" o:spid="_x0000_s1059" type="#_x0000_t75" style="height:284.2pt;width:253.85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相关政策、软件变更请关注【上海税务】、【神计报税】微信公众号。</w:t>
      </w:r>
    </w:p>
    <w:p>
      <w:pPr>
        <w:spacing w:line="360" w:lineRule="auto"/>
        <w:rPr>
          <w:sz w:val="24"/>
        </w:rPr>
      </w:pPr>
      <w:r>
        <w:rPr>
          <w:rFonts w:ascii="Calibri" w:hAnsi="Calibri" w:eastAsia="宋体"/>
          <w:kern w:val="2"/>
          <w:sz w:val="24"/>
          <w:szCs w:val="22"/>
          <w:lang w:val="en-US" w:eastAsia="zh-CN" w:bidi="ar-SA"/>
        </w:rPr>
        <w:pict>
          <v:shape id="图片 23" o:spid="_x0000_s1060" type="#_x0000_t75" style="height:284.65pt;width:440.15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jc w:val="right"/>
        <w:rPr>
          <w:sz w:val="24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6"/>
    </w:pPr>
  </w:p>
  <w:p>
    <w:pPr>
      <w:pStyle w:val="6"/>
    </w:pPr>
    <w:r>
      <w:rPr>
        <w:rFonts w:ascii="Calibri" w:hAnsi="Calibri" w:eastAsia="宋体"/>
        <w:kern w:val="2"/>
        <w:sz w:val="18"/>
        <w:szCs w:val="18"/>
        <w:lang w:val="en-US" w:eastAsia="zh-CN" w:bidi="ar-SA"/>
      </w:rPr>
      <w:pict>
        <v:shape id="Quad Arrow 1" o:spid="_x0000_s1025" type="#_x0000_t202" style="position:absolute;left:0;margin-top:0pt;height:144pt;width:144pt;mso-position-horizontal:center;mso-position-horizontal-relative:margin;mso-wrap-style:none;rotation:0f;z-index:251658240;" o:ole="f" fillcolor="#FFFFFF" filled="f" o:preferrelative="t" stroked="f" coordorigin="0,0" coordsize="21600,21600">
          <v:fill on="f" color2="#FFFFFF" focus="0%"/>
          <v:imagedata gain="65536f" blacklevel="0f" gamma="0"/>
          <o:lock v:ext="edit" position="f" selection="f" grouping="f" rotation="f" cropping="f" text="f" aspectratio="f"/>
          <v:textbox inset="0.00pt,0.00pt,0.00pt,0.00pt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8D53C0"/>
    <w:rsid w:val="00026150"/>
    <w:rsid w:val="00054EC9"/>
    <w:rsid w:val="00086377"/>
    <w:rsid w:val="00091A9F"/>
    <w:rsid w:val="000932B8"/>
    <w:rsid w:val="000F584D"/>
    <w:rsid w:val="001066EB"/>
    <w:rsid w:val="00124F03"/>
    <w:rsid w:val="001623E0"/>
    <w:rsid w:val="001C2117"/>
    <w:rsid w:val="001D0DC4"/>
    <w:rsid w:val="00215C18"/>
    <w:rsid w:val="002E787D"/>
    <w:rsid w:val="00305CE9"/>
    <w:rsid w:val="0033256F"/>
    <w:rsid w:val="003D030E"/>
    <w:rsid w:val="00462386"/>
    <w:rsid w:val="004833CE"/>
    <w:rsid w:val="004941BC"/>
    <w:rsid w:val="004A643D"/>
    <w:rsid w:val="004C5277"/>
    <w:rsid w:val="00501C81"/>
    <w:rsid w:val="005271A2"/>
    <w:rsid w:val="005E4125"/>
    <w:rsid w:val="005F6614"/>
    <w:rsid w:val="006114AD"/>
    <w:rsid w:val="0063776C"/>
    <w:rsid w:val="00651428"/>
    <w:rsid w:val="006F5A54"/>
    <w:rsid w:val="00702025"/>
    <w:rsid w:val="00733A5F"/>
    <w:rsid w:val="0079598B"/>
    <w:rsid w:val="007959A7"/>
    <w:rsid w:val="007D278D"/>
    <w:rsid w:val="007E42D6"/>
    <w:rsid w:val="008302B1"/>
    <w:rsid w:val="008C25AB"/>
    <w:rsid w:val="008C5212"/>
    <w:rsid w:val="008D53C0"/>
    <w:rsid w:val="008F1599"/>
    <w:rsid w:val="009827A1"/>
    <w:rsid w:val="009A5EFD"/>
    <w:rsid w:val="009C0C6D"/>
    <w:rsid w:val="009D3F7E"/>
    <w:rsid w:val="009D641B"/>
    <w:rsid w:val="00A50A55"/>
    <w:rsid w:val="00A820B4"/>
    <w:rsid w:val="00AA4EAB"/>
    <w:rsid w:val="00B011A9"/>
    <w:rsid w:val="00B36BAC"/>
    <w:rsid w:val="00B53E3B"/>
    <w:rsid w:val="00BC682E"/>
    <w:rsid w:val="00BE697B"/>
    <w:rsid w:val="00BF5138"/>
    <w:rsid w:val="00BF5BDD"/>
    <w:rsid w:val="00C546F8"/>
    <w:rsid w:val="00D06A33"/>
    <w:rsid w:val="00D129A2"/>
    <w:rsid w:val="00D36981"/>
    <w:rsid w:val="00D472C8"/>
    <w:rsid w:val="00DF2F54"/>
    <w:rsid w:val="00E1057E"/>
    <w:rsid w:val="00E33AF5"/>
    <w:rsid w:val="00E62CC2"/>
    <w:rsid w:val="00EC7B71"/>
    <w:rsid w:val="00F03E3A"/>
    <w:rsid w:val="00F16B21"/>
    <w:rsid w:val="00F66C14"/>
    <w:rsid w:val="077D4FD6"/>
    <w:rsid w:val="0AD772D6"/>
    <w:rsid w:val="0FAA55C0"/>
    <w:rsid w:val="16527FAD"/>
    <w:rsid w:val="17B730F8"/>
    <w:rsid w:val="1D8F2E8D"/>
    <w:rsid w:val="1E52514A"/>
    <w:rsid w:val="246C2851"/>
    <w:rsid w:val="2A2A0578"/>
    <w:rsid w:val="2A5218FD"/>
    <w:rsid w:val="409B1E8D"/>
    <w:rsid w:val="40D1687A"/>
    <w:rsid w:val="466E721C"/>
    <w:rsid w:val="46DE3850"/>
    <w:rsid w:val="47E82E09"/>
    <w:rsid w:val="4CD20D18"/>
    <w:rsid w:val="4D283CA5"/>
    <w:rsid w:val="4FCF312D"/>
    <w:rsid w:val="554E6B03"/>
    <w:rsid w:val="5A114B53"/>
    <w:rsid w:val="5D3A0883"/>
    <w:rsid w:val="626A3683"/>
    <w:rsid w:val="75EE7C07"/>
    <w:rsid w:val="7B6C1C0D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99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unhideWhenUsed/>
    <w:uiPriority w:val="1"/>
  </w:style>
  <w:style w:type="table" w:default="1" w:styleId="11">
    <w:name w:val="Normal Table"/>
    <w:unhideWhenUsed/>
    <w:qFormat/>
    <w:uiPriority w:val="99"/>
    <w:tblPr>
      <w:tblStyle w:val="11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3">
    <w:name w:val="Document Map"/>
    <w:basedOn w:val="1"/>
    <w:link w:val="18"/>
    <w:unhideWhenUsed/>
    <w:qFormat/>
    <w:uiPriority w:val="99"/>
    <w:rPr>
      <w:rFonts w:ascii="宋体" w:eastAsia="宋体"/>
      <w:sz w:val="18"/>
      <w:szCs w:val="18"/>
    </w:rPr>
  </w:style>
  <w:style w:type="paragraph" w:styleId="4">
    <w:name w:val="Date"/>
    <w:basedOn w:val="1"/>
    <w:next w:val="1"/>
    <w:link w:val="16"/>
    <w:unhideWhenUsed/>
    <w:uiPriority w:val="99"/>
    <w:pPr>
      <w:ind w:left="100" w:leftChars="2500"/>
    </w:pPr>
  </w:style>
  <w:style w:type="paragraph" w:styleId="5">
    <w:name w:val="Balloon Text"/>
    <w:basedOn w:val="1"/>
    <w:link w:val="19"/>
    <w:unhideWhenUsed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  <w:spacing w:line="360" w:lineRule="auto"/>
    </w:pPr>
  </w:style>
  <w:style w:type="character" w:styleId="10">
    <w:name w:val="Hyperlink"/>
    <w:basedOn w:val="9"/>
    <w:unhideWhenUsed/>
    <w:uiPriority w:val="99"/>
    <w:rPr>
      <w:color w:val="0000FF"/>
      <w:u w:val="single"/>
    </w:rPr>
  </w:style>
  <w:style w:type="paragraph" w:customStyle="1" w:styleId="12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/>
      <w:color w:val="365F90"/>
      <w:kern w:val="0"/>
      <w:sz w:val="28"/>
      <w:szCs w:val="28"/>
    </w:rPr>
  </w:style>
  <w:style w:type="character" w:customStyle="1" w:styleId="14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6">
    <w:name w:val="日期 Char"/>
    <w:basedOn w:val="9"/>
    <w:link w:val="4"/>
    <w:semiHidden/>
    <w:qFormat/>
    <w:uiPriority w:val="99"/>
    <w:rPr/>
  </w:style>
  <w:style w:type="character" w:customStyle="1" w:styleId="17">
    <w:name w:val="标题 1 Char"/>
    <w:basedOn w:val="9"/>
    <w:link w:val="2"/>
    <w:uiPriority w:val="9"/>
    <w:rPr>
      <w:b/>
      <w:bCs/>
      <w:kern w:val="44"/>
      <w:sz w:val="44"/>
      <w:szCs w:val="44"/>
    </w:rPr>
  </w:style>
  <w:style w:type="character" w:customStyle="1" w:styleId="18">
    <w:name w:val="文档结构图 Char"/>
    <w:basedOn w:val="9"/>
    <w:link w:val="3"/>
    <w:semiHidden/>
    <w:qFormat/>
    <w:uiPriority w:val="99"/>
    <w:rPr>
      <w:rFonts w:ascii="宋体" w:eastAsia="宋体"/>
      <w:sz w:val="18"/>
      <w:szCs w:val="18"/>
    </w:rPr>
  </w:style>
  <w:style w:type="character" w:customStyle="1" w:styleId="19">
    <w:name w:val="批注框文本 Char"/>
    <w:basedOn w:val="9"/>
    <w:link w:val="5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customXml" Target="../customXml/item1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settings" Target="setting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tyles" Target="style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363</Words>
  <Characters>2075</Characters>
  <Lines>17</Lines>
  <Paragraphs>4</Paragraphs>
  <TotalTime>0</TotalTime>
  <ScaleCrop>false</ScaleCrop>
  <LinksUpToDate>false</LinksUpToDate>
  <CharactersWithSpaces>0</CharactersWithSpaces>
  <Application>WPS Office_9.1.0.5133_F1E327BC-269C-435d-A152-05C5408002CA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2017-03-02T05:47:00Z</dcterms:created>
  <dc:creator>sj</dc:creator>
  <cp:lastModifiedBy>Administrator</cp:lastModifiedBy>
  <dcterms:modified xsi:type="dcterms:W3CDTF">2020-04-01T03:16:20Z</dcterms:modified>
  <dc:title>eTax@SH 3 网上电子申报软件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2052-9.1.0.5133</vt:lpwstr>
  </property>
</Properties>
</file>